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  <w:jc w:val="center"/>
      </w:pPr>
      <w:r>
        <w:rPr>
          <w:rFonts w:ascii="Calibri" w:cs="Calibri" w:eastAsia="Calibri" w:hAnsi="Calibri"/>
          <w:b/>
          <w:bCs/>
          <w:color w:val="0D2B4E"/>
          <w:sz w:val="46"/>
          <w:szCs w:val="46"/>
        </w:rPr>
        <w:t xml:space="preserve">TUSHAR BEHERA</w:t>
      </w:r>
    </w:p>
    <w:p>
      <w:pPr>
        <w:spacing w:after="20" w:before="0"/>
        <w:jc w:val="center"/>
      </w:pPr>
      <w:r>
        <w:rPr>
          <w:rFonts w:ascii="Calibri" w:cs="Calibri" w:eastAsia="Calibri" w:hAnsi="Calibri"/>
          <w:color w:val="1A5FA8"/>
          <w:sz w:val="17"/>
          <w:szCs w:val="17"/>
        </w:rPr>
        <w:t xml:space="preserve">DevOps Engineer  •  CI/CD &amp; Pipeline Automation  •  Cloud Infrastructure  •  Observability</w:t>
      </w:r>
    </w:p>
    <w:p>
      <w:pPr>
        <w:pBdr>
          <w:bottom w:val="single" w:color="0D2B4E" w:sz="14" w:space="5"/>
        </w:pBdr>
        <w:spacing w:after="0" w:before="0"/>
        <w:jc w:val="center"/>
      </w:pPr>
      <w:r>
        <w:rPr>
          <w:rFonts w:ascii="Calibri" w:cs="Calibri" w:eastAsia="Calibri" w:hAnsi="Calibri"/>
          <w:color w:val="717171"/>
          <w:sz w:val="15"/>
          <w:szCs w:val="15"/>
        </w:rPr>
        <w:t xml:space="preserve">Bengaluru, KA  |  +91-7008592230  |  tusharbehera32@gmail.com  |  linkedin.com/in/tusharbehera  |  github.com/tushar-behera</w:t>
      </w:r>
    </w:p>
    <w:p>
      <w:pPr>
        <w:spacing w:after="70" w:before="110"/>
      </w:pPr>
      <w:r>
        <w:rPr>
          <w:rFonts w:ascii="Calibri" w:cs="Calibri" w:eastAsia="Calibri" w:hAnsi="Calibri"/>
          <w:color w:val="111111"/>
          <w:sz w:val="17"/>
          <w:szCs w:val="17"/>
        </w:rPr>
        <w:t xml:space="preserve">DevOps Engineer with </w:t>
      </w:r>
      <w:r>
        <w:rPr>
          <w:rFonts w:ascii="Calibri" w:cs="Calibri" w:eastAsia="Calibri" w:hAnsi="Calibri"/>
          <w:b/>
          <w:bCs/>
          <w:color w:val="111111"/>
          <w:sz w:val="17"/>
          <w:szCs w:val="17"/>
        </w:rPr>
        <w:t xml:space="preserve">1+ year of hands-on experience</w:t>
      </w:r>
      <w:r>
        <w:rPr>
          <w:rFonts w:ascii="Calibri" w:cs="Calibri" w:eastAsia="Calibri" w:hAnsi="Calibri"/>
          <w:color w:val="111111"/>
          <w:sz w:val="17"/>
          <w:szCs w:val="17"/>
        </w:rPr>
        <w:t xml:space="preserve"> in CI/CD automation, Linux server administration, multi-server infrastructure, and observability stack deployment. Independently built and deployed a </w:t>
      </w:r>
      <w:r>
        <w:rPr>
          <w:rFonts w:ascii="Calibri" w:cs="Calibri" w:eastAsia="Calibri" w:hAnsi="Calibri"/>
          <w:b/>
          <w:bCs/>
          <w:color w:val="111111"/>
          <w:sz w:val="17"/>
          <w:szCs w:val="17"/>
        </w:rPr>
        <w:t xml:space="preserve">centralized LGTM monitoring platform across 2 production environments</w:t>
      </w:r>
      <w:r>
        <w:rPr>
          <w:rFonts w:ascii="Calibri" w:cs="Calibri" w:eastAsia="Calibri" w:hAnsi="Calibri"/>
          <w:color w:val="111111"/>
          <w:sz w:val="17"/>
          <w:szCs w:val="17"/>
        </w:rPr>
        <w:t xml:space="preserve">, reducing developer escalations to zero. Driven by a growth mindset — actively planning Docker, Kubernetes, and AI-driven deployment automation for production adoption.</w:t>
      </w:r>
    </w:p>
    <w:p>
      <w:pPr>
        <w:pBdr>
          <w:bottom w:val="single" w:color="1A5FA8" w:sz="8" w:space="3"/>
        </w:pBdr>
        <w:spacing w:after="40" w:before="130"/>
      </w:pPr>
      <w:r>
        <w:rPr>
          <w:rFonts w:ascii="Calibri" w:cs="Calibri" w:eastAsia="Calibri" w:hAnsi="Calibri"/>
          <w:b/>
          <w:bCs/>
          <w:color w:val="0D2B4E"/>
          <w:sz w:val="20"/>
          <w:szCs w:val="20"/>
        </w:rPr>
        <w:t xml:space="preserve">PROFESSIONAL EXPERIENCE</w:t>
      </w:r>
    </w:p>
    <w:p>
      <w:pPr>
        <w:tabs>
          <w:tab w:val="right" w:pos="10656"/>
        </w:tabs>
        <w:spacing w:after="20" w:before="50"/>
      </w:pPr>
      <w:r>
        <w:rPr>
          <w:rFonts w:ascii="Calibri" w:cs="Calibri" w:eastAsia="Calibri" w:hAnsi="Calibri"/>
          <w:b/>
          <w:bCs/>
          <w:color w:val="111111"/>
          <w:sz w:val="19"/>
          <w:szCs w:val="19"/>
        </w:rPr>
        <w:t xml:space="preserve">DevOps Engineer</w:t>
      </w:r>
      <w:r>
        <w:rPr>
          <w:rFonts w:ascii="Calibri" w:cs="Calibri" w:eastAsia="Calibri" w:hAnsi="Calibri"/>
          <w:color w:val="1A5FA8"/>
          <w:sz w:val="17"/>
          <w:szCs w:val="17"/>
        </w:rPr>
        <w:t xml:space="preserve">  |  Enterprise Product Company, Bengaluru</w:t>
      </w:r>
      <w:r>
        <w:rPr>
          <w:rFonts w:ascii="Calibri" w:cs="Calibri" w:eastAsia="Calibri" w:hAnsi="Calibri"/>
          <w:i/>
          <w:iCs/>
          <w:color w:val="717171"/>
          <w:sz w:val="15"/>
          <w:szCs w:val="15"/>
        </w:rPr>
        <w:t xml:space="preserve">	Nov 2025 – Present</w:t>
      </w:r>
    </w:p>
    <w:p>
      <w:pPr>
        <w:pStyle w:val="ListParagraph"/>
        <w:numPr>
          <w:ilvl w:val="0"/>
          <w:numId w:val="2"/>
        </w:numPr>
        <w:spacing w:after="28" w:before="28"/>
      </w:pPr>
      <w:r>
        <w:rPr>
          <w:rFonts w:ascii="Calibri" w:cs="Calibri" w:eastAsia="Calibri" w:hAnsi="Calibri"/>
          <w:b/>
          <w:bCs/>
          <w:color w:val="111111"/>
          <w:sz w:val="17"/>
          <w:szCs w:val="17"/>
        </w:rPr>
        <w:t xml:space="preserve">Process Gap → Solution: </w:t>
      </w:r>
      <w:r>
        <w:rPr>
          <w:rFonts w:ascii="Calibri" w:cs="Calibri" w:eastAsia="Calibri" w:hAnsi="Calibri"/>
          <w:color w:val="111111"/>
          <w:sz w:val="17"/>
          <w:szCs w:val="17"/>
        </w:rPr>
        <w:t xml:space="preserve">Identified and resolved a company-wide absence of Agile project tracking; proposed Azure DevOps Boards &amp; Sprints strategy adopted across </w:t>
      </w:r>
    </w:p>
    <w:p>
      <w:pPr>
        <w:pStyle w:val="ListParagraph"/>
        <w:numPr>
          <w:ilvl w:val="0"/>
          <w:numId w:val="2"/>
        </w:numPr>
        <w:spacing w:after="28" w:before="28"/>
      </w:pPr>
      <w:r>
        <w:rPr>
          <w:rFonts w:ascii="Calibri" w:cs="Calibri" w:eastAsia="Calibri" w:hAnsi="Calibri"/>
          <w:color w:val="111111"/>
          <w:sz w:val="17"/>
          <w:szCs w:val="17"/>
        </w:rPr>
        <w:t xml:space="preserve">Managed CI/CD pipelines (YAML) for 2 enterprise applications — overseeing 20+ production releases with 100% deployment success and zero rollbacks.</w:t>
      </w:r>
    </w:p>
    <w:p>
      <w:pPr>
        <w:pStyle w:val="ListParagraph"/>
        <w:numPr>
          <w:ilvl w:val="0"/>
          <w:numId w:val="2"/>
        </w:numPr>
        <w:spacing w:after="28" w:before="28"/>
      </w:pPr>
      <w:r>
        <w:rPr>
          <w:rFonts w:ascii="Calibri" w:cs="Calibri" w:eastAsia="Calibri" w:hAnsi="Calibri"/>
          <w:color w:val="111111"/>
          <w:sz w:val="17"/>
          <w:szCs w:val="17"/>
        </w:rPr>
        <w:t xml:space="preserve">Architected a 3-tier server infrastructure (Apache Reverse Proxy + Tomcat + PostgreSQL) in a fully VPN-restricted environment, completing full setup in 2 weeks from scratch.</w:t>
      </w:r>
    </w:p>
    <w:p>
      <w:pPr>
        <w:pStyle w:val="ListParagraph"/>
        <w:numPr>
          <w:ilvl w:val="0"/>
          <w:numId w:val="2"/>
        </w:numPr>
        <w:spacing w:after="28" w:before="28"/>
      </w:pPr>
      <w:r>
        <w:rPr>
          <w:rFonts w:ascii="Calibri" w:cs="Calibri" w:eastAsia="Calibri" w:hAnsi="Calibri"/>
          <w:color w:val="111111"/>
          <w:sz w:val="17"/>
          <w:szCs w:val="17"/>
        </w:rPr>
        <w:t xml:space="preserve">Redesigned deployment pipelines with Shell scripting &amp; Linux alias automation — cutting deployment execution time by ~40% and eliminating all manual environment setup steps.</w:t>
      </w:r>
    </w:p>
    <w:p>
      <w:pPr>
        <w:pStyle w:val="ListParagraph"/>
        <w:numPr>
          <w:ilvl w:val="0"/>
          <w:numId w:val="2"/>
        </w:numPr>
        <w:spacing w:after="28" w:before="28"/>
      </w:pPr>
      <w:r>
        <w:rPr>
          <w:rFonts w:ascii="Calibri" w:cs="Calibri" w:eastAsia="Calibri" w:hAnsi="Calibri"/>
          <w:color w:val="111111"/>
          <w:sz w:val="17"/>
          <w:szCs w:val="17"/>
        </w:rPr>
        <w:t xml:space="preserve">Deployed a full LGTM observability stack (Grafana + Loki + Prometheus + Alloy) across 2 production projects; developers self-serve via internal domain — reducing DevOps escalations by 100%.</w:t>
      </w:r>
    </w:p>
    <w:p>
      <w:pPr>
        <w:pStyle w:val="ListParagraph"/>
        <w:numPr>
          <w:ilvl w:val="0"/>
          <w:numId w:val="2"/>
        </w:numPr>
        <w:spacing w:after="28" w:before="28"/>
      </w:pPr>
      <w:r>
        <w:rPr>
          <w:rFonts w:ascii="Calibri" w:cs="Calibri" w:eastAsia="Calibri" w:hAnsi="Calibri"/>
          <w:color w:val="111111"/>
          <w:sz w:val="17"/>
          <w:szCs w:val="17"/>
        </w:rPr>
        <w:t xml:space="preserve">Configured Azure DevOps webhook → Microsoft Teams alerts for 6+ pipeline events, reducing incident response time by ~50% across 2 project teams.</w:t>
      </w:r>
    </w:p>
    <w:p>
      <w:pPr>
        <w:pBdr>
          <w:bottom w:val="single" w:color="1A5FA8" w:sz="8" w:space="3"/>
        </w:pBdr>
        <w:spacing w:after="40" w:before="130"/>
      </w:pPr>
      <w:r>
        <w:rPr>
          <w:rFonts w:ascii="Calibri" w:cs="Calibri" w:eastAsia="Calibri" w:hAnsi="Calibri"/>
          <w:b/>
          <w:bCs/>
          <w:color w:val="0D2B4E"/>
          <w:sz w:val="20"/>
          <w:szCs w:val="20"/>
        </w:rPr>
        <w:t xml:space="preserve">TECHNICAL SKILLS</w:t>
      </w: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8956"/>
      </w:tblGrid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"/>
              <w:left w:type="dxa" w:w="0"/>
              <w:bottom w:type="dxa" w:w="28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0D2B4E"/>
                <w:sz w:val="16"/>
                <w:szCs w:val="16"/>
              </w:rPr>
              <w:t xml:space="preserve">CI/CD &amp; DevOps</w:t>
            </w:r>
          </w:p>
        </w:tc>
        <w:tc>
          <w:tcPr>
            <w:tcW w:type="dxa" w:w="89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"/>
              <w:left w:type="dxa" w:w="0"/>
              <w:bottom w:type="dxa" w:w="28"/>
              <w:right w:type="dxa" w:w="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Azure DevOps · YAML Pipelines · Jenkins · GitHub Actions · ArgoCD (GitOps) · Git · Azure Repos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"/>
              <w:left w:type="dxa" w:w="0"/>
              <w:bottom w:type="dxa" w:w="28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0D2B4E"/>
                <w:sz w:val="16"/>
                <w:szCs w:val="16"/>
              </w:rPr>
              <w:t xml:space="preserve">Monitoring</w:t>
            </w:r>
          </w:p>
        </w:tc>
        <w:tc>
          <w:tcPr>
            <w:tcW w:type="dxa" w:w="89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"/>
              <w:left w:type="dxa" w:w="0"/>
              <w:bottom w:type="dxa" w:w="28"/>
              <w:right w:type="dxa" w:w="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Grafana · Loki · Prometheus · Alloy · OpenTelemetry · Centralized Logging · Metrics Dashboards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"/>
              <w:left w:type="dxa" w:w="0"/>
              <w:bottom w:type="dxa" w:w="28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0D2B4E"/>
                <w:sz w:val="16"/>
                <w:szCs w:val="16"/>
              </w:rPr>
              <w:t xml:space="preserve">Cloud &amp; IaC</w:t>
            </w:r>
          </w:p>
        </w:tc>
        <w:tc>
          <w:tcPr>
            <w:tcW w:type="dxa" w:w="89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"/>
              <w:left w:type="dxa" w:w="0"/>
              <w:bottom w:type="dxa" w:w="28"/>
              <w:right w:type="dxa" w:w="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AWS (EC2, S3, EBS, IAM, VPC, Lambda, CloudWatch, SNS, ELB) · Azure · Terraform · Ansible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"/>
              <w:left w:type="dxa" w:w="0"/>
              <w:bottom w:type="dxa" w:w="28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0D2B4E"/>
                <w:sz w:val="16"/>
                <w:szCs w:val="16"/>
              </w:rPr>
              <w:t xml:space="preserve">Containers</w:t>
            </w:r>
          </w:p>
        </w:tc>
        <w:tc>
          <w:tcPr>
            <w:tcW w:type="dxa" w:w="89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"/>
              <w:left w:type="dxa" w:w="0"/>
              <w:bottom w:type="dxa" w:w="28"/>
              <w:right w:type="dxa" w:w="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Docker · Docker Compose · Kubernetes · Helm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"/>
              <w:left w:type="dxa" w:w="0"/>
              <w:bottom w:type="dxa" w:w="28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0D2B4E"/>
                <w:sz w:val="16"/>
                <w:szCs w:val="16"/>
              </w:rPr>
              <w:t xml:space="preserve">Linux &amp; Servers</w:t>
            </w:r>
          </w:p>
        </w:tc>
        <w:tc>
          <w:tcPr>
            <w:tcW w:type="dxa" w:w="89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"/>
              <w:left w:type="dxa" w:w="0"/>
              <w:bottom w:type="dxa" w:w="28"/>
              <w:right w:type="dxa" w:w="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Ubuntu · Amazon Linux · Apache · Tomcat · Shell Scripting · SSH · Reverse Proxy · VM Admin</w:t>
            </w:r>
          </w:p>
        </w:tc>
      </w:tr>
      <w:tr>
        <w:tc>
          <w:tcPr>
            <w:tcW w:type="dxa" w:w="1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"/>
              <w:left w:type="dxa" w:w="0"/>
              <w:bottom w:type="dxa" w:w="28"/>
              <w:right w:type="dxa" w:w="8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0D2B4E"/>
                <w:sz w:val="16"/>
                <w:szCs w:val="16"/>
              </w:rPr>
              <w:t xml:space="preserve">Databases</w:t>
            </w:r>
          </w:p>
        </w:tc>
        <w:tc>
          <w:tcPr>
            <w:tcW w:type="dxa" w:w="89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8"/>
              <w:left w:type="dxa" w:w="0"/>
              <w:bottom w:type="dxa" w:w="28"/>
              <w:right w:type="dxa" w:w="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PostgreSQL · MySQL · MongoDB · AWS RDS · DynamoDB · Oracle</w:t>
            </w:r>
          </w:p>
        </w:tc>
      </w:tr>
    </w:tbl>
    <w:p>
      <w:pPr>
        <w:pBdr>
          <w:bottom w:val="single" w:color="1A5FA8" w:sz="8" w:space="3"/>
        </w:pBdr>
        <w:spacing w:after="40" w:before="130"/>
      </w:pPr>
      <w:r>
        <w:rPr>
          <w:rFonts w:ascii="Calibri" w:cs="Calibri" w:eastAsia="Calibri" w:hAnsi="Calibri"/>
          <w:b/>
          <w:bCs/>
          <w:color w:val="0D2B4E"/>
          <w:sz w:val="20"/>
          <w:szCs w:val="20"/>
        </w:rPr>
        <w:t xml:space="preserve">PROJECTS</w:t>
      </w:r>
    </w:p>
    <w:tbl>
      <w:tblPr>
        <w:tblW w:type="dxa" w:w="106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8"/>
        <w:gridCol w:w="240"/>
        <w:gridCol w:w="5208"/>
      </w:tblGrid>
      <w:tr>
        <w:tc>
          <w:tcPr>
            <w:tcW w:type="dxa" w:w="5208"/>
            <w:tcBorders>
              <w:top w:val="single" w:color="B8D0F0" w:sz="6"/>
              <w:left w:val="single" w:color="1A5FA8" w:sz="16"/>
              <w:bottom w:val="single" w:color="B8D0F0" w:sz="6"/>
              <w:right w:val="single" w:color="B8D0F0" w:sz="6"/>
            </w:tcBorders>
            <w:shd w:fill="F0F6FF" w:val="clear"/>
            <w:tcMar>
              <w:top w:type="dxa" w:w="100"/>
              <w:left w:type="dxa" w:w="130"/>
              <w:bottom w:type="dxa" w:w="100"/>
              <w:right w:type="dxa" w:w="130"/>
            </w:tcMar>
            <w:vAlign w:val="top"/>
          </w:tcPr>
          <w:p>
            <w:pPr>
              <w:tabs>
                <w:tab w:val="right" w:pos="5008"/>
              </w:tabs>
              <w:spacing w:after="20" w:before="0"/>
            </w:pPr>
            <w:r>
              <w:rPr>
                <w:rFonts w:ascii="Calibri" w:cs="Calibri" w:eastAsia="Calibri" w:hAnsi="Calibri"/>
                <w:b/>
                <w:bCs/>
                <w:color w:val="0D2B4E"/>
                <w:sz w:val="18"/>
                <w:szCs w:val="18"/>
              </w:rPr>
              <w:t xml:space="preserve">LGTM Observability Stack</w:t>
            </w:r>
            <w:r>
              <w:rPr>
                <w:rFonts w:ascii="Calibri" w:cs="Calibri" w:eastAsia="Calibri" w:hAnsi="Calibri"/>
                <w:i/>
                <w:iCs/>
                <w:color w:val="717171"/>
                <w:sz w:val="14"/>
                <w:szCs w:val="14"/>
              </w:rPr>
              <w:t xml:space="preserve">	Dec 2025 – Jan 2026</w:t>
            </w:r>
          </w:p>
          <w:p>
            <w:pPr>
              <w:spacing w:after="30" w:before="0"/>
            </w:pPr>
            <w:r>
              <w:rPr>
                <w:rFonts w:ascii="Calibri" w:cs="Calibri" w:eastAsia="Calibri" w:hAnsi="Calibri"/>
                <w:b/>
                <w:bCs/>
                <w:color w:val="1A5FA8"/>
                <w:sz w:val="13"/>
                <w:szCs w:val="13"/>
              </w:rPr>
              <w:t xml:space="preserve">  ★ COMPANY — FLAGSHIP  </w:t>
            </w:r>
            <w:r>
              <w:rPr>
                <w:rFonts w:ascii="Calibri" w:cs="Calibri" w:eastAsia="Calibri" w:hAnsi="Calibri"/>
                <w:i/>
                <w:iCs/>
                <w:color w:val="0E7490"/>
                <w:sz w:val="14"/>
                <w:szCs w:val="14"/>
              </w:rPr>
              <w:t xml:space="preserve">   Grafana · Loki · Prometheus · Alloy · OpenTelemetry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before="22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Deployed full centralized monitoring from scratch across 2 production environments; configured Loki (log aggregation), Prometheus (metrics), Alloy (forwarding agents) &amp; Grafana dashboards accessible via internal domain.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before="22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Impact: 100% elimination of reactive developer escalations — teams self-serve error logs, app metrics &amp; DB health 24/7.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5208"/>
            <w:tcBorders>
              <w:top w:val="single" w:color="B8D0F0" w:sz="6"/>
              <w:left w:val="single" w:color="1A5FA8" w:sz="16"/>
              <w:bottom w:val="single" w:color="B8D0F0" w:sz="6"/>
              <w:right w:val="single" w:color="B8D0F0" w:sz="6"/>
            </w:tcBorders>
            <w:shd w:fill="F0F6FF" w:val="clear"/>
            <w:tcMar>
              <w:top w:type="dxa" w:w="100"/>
              <w:left w:type="dxa" w:w="130"/>
              <w:bottom w:type="dxa" w:w="100"/>
              <w:right w:type="dxa" w:w="130"/>
            </w:tcMar>
            <w:vAlign w:val="top"/>
          </w:tcPr>
          <w:p>
            <w:pPr>
              <w:tabs>
                <w:tab w:val="right" w:pos="5008"/>
              </w:tabs>
              <w:spacing w:after="20" w:before="0"/>
            </w:pPr>
            <w:r>
              <w:rPr>
                <w:rFonts w:ascii="Calibri" w:cs="Calibri" w:eastAsia="Calibri" w:hAnsi="Calibri"/>
                <w:b/>
                <w:bCs/>
                <w:color w:val="0D2B4E"/>
                <w:sz w:val="18"/>
                <w:szCs w:val="18"/>
              </w:rPr>
              <w:t xml:space="preserve">Multi-Server Infra Setup</w:t>
            </w:r>
            <w:r>
              <w:rPr>
                <w:rFonts w:ascii="Calibri" w:cs="Calibri" w:eastAsia="Calibri" w:hAnsi="Calibri"/>
                <w:i/>
                <w:iCs/>
                <w:color w:val="717171"/>
                <w:sz w:val="14"/>
                <w:szCs w:val="14"/>
              </w:rPr>
              <w:t xml:space="preserve">	Jan – Feb 2026</w:t>
            </w:r>
          </w:p>
          <w:p>
            <w:pPr>
              <w:spacing w:after="30" w:before="0"/>
            </w:pPr>
            <w:r>
              <w:rPr>
                <w:rFonts w:ascii="Calibri" w:cs="Calibri" w:eastAsia="Calibri" w:hAnsi="Calibri"/>
                <w:b/>
                <w:bCs/>
                <w:color w:val="1A5FA8"/>
                <w:sz w:val="13"/>
                <w:szCs w:val="13"/>
              </w:rPr>
              <w:t xml:space="preserve">  COMPANY — INFRASTRUCTURE  </w:t>
            </w:r>
            <w:r>
              <w:rPr>
                <w:rFonts w:ascii="Calibri" w:cs="Calibri" w:eastAsia="Calibri" w:hAnsi="Calibri"/>
                <w:i/>
                <w:iCs/>
                <w:color w:val="0E7490"/>
                <w:sz w:val="14"/>
                <w:szCs w:val="14"/>
              </w:rPr>
              <w:t xml:space="preserve">   Apache · Tomcat · PostgreSQL · SSH · Linux · VPN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before="22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Configured a 3-tier architecture (Reverse Proxy + App Server + DB) in a fully VPN-restricted client environment with zero documentation — established all connectivity, SSL routing &amp; service communication.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before="22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Impact: Full operational environment delivered in 2 weeks; zero downtime incidents post-deployment.</w:t>
            </w:r>
          </w:p>
        </w:tc>
      </w:tr>
      <w:tr>
        <w:tc>
          <w:tcPr>
            <w:tcW w:type="dxa" w:w="106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0" w:before="0"/>
            </w:pPr>
          </w:p>
        </w:tc>
      </w:tr>
      <w:tr>
        <w:tc>
          <w:tcPr>
            <w:tcW w:type="dxa" w:w="5208"/>
            <w:tcBorders>
              <w:top w:val="single" w:color="B8D0F0" w:sz="6"/>
              <w:left w:val="single" w:color="1A5FA8" w:sz="16"/>
              <w:bottom w:val="single" w:color="B8D0F0" w:sz="6"/>
              <w:right w:val="single" w:color="B8D0F0" w:sz="6"/>
            </w:tcBorders>
            <w:shd w:fill="F0F6FF" w:val="clear"/>
            <w:tcMar>
              <w:top w:type="dxa" w:w="100"/>
              <w:left w:type="dxa" w:w="130"/>
              <w:bottom w:type="dxa" w:w="100"/>
              <w:right w:type="dxa" w:w="130"/>
            </w:tcMar>
            <w:vAlign w:val="top"/>
          </w:tcPr>
          <w:p>
            <w:pPr>
              <w:tabs>
                <w:tab w:val="right" w:pos="5008"/>
              </w:tabs>
              <w:spacing w:after="20" w:before="0"/>
            </w:pPr>
            <w:r>
              <w:rPr>
                <w:rFonts w:ascii="Calibri" w:cs="Calibri" w:eastAsia="Calibri" w:hAnsi="Calibri"/>
                <w:b/>
                <w:bCs/>
                <w:color w:val="0D2B4E"/>
                <w:sz w:val="18"/>
                <w:szCs w:val="18"/>
              </w:rPr>
              <w:t xml:space="preserve">CI/CD Pipeline — Java Web App</w:t>
            </w:r>
            <w:r>
              <w:rPr>
                <w:rFonts w:ascii="Calibri" w:cs="Calibri" w:eastAsia="Calibri" w:hAnsi="Calibri"/>
                <w:i/>
                <w:iCs/>
                <w:color w:val="717171"/>
                <w:sz w:val="14"/>
                <w:szCs w:val="14"/>
              </w:rPr>
              <w:t xml:space="preserve">	Aug 2025</w:t>
            </w:r>
          </w:p>
          <w:p>
            <w:pPr>
              <w:spacing w:after="30" w:before="0"/>
            </w:pPr>
            <w:r>
              <w:rPr>
                <w:rFonts w:ascii="Calibri" w:cs="Calibri" w:eastAsia="Calibri" w:hAnsi="Calibri"/>
                <w:b/>
                <w:bCs/>
                <w:color w:val="1A5FA8"/>
                <w:sz w:val="13"/>
                <w:szCs w:val="13"/>
              </w:rPr>
              <w:t xml:space="preserve">  PERSONAL — CI/CD  </w:t>
            </w:r>
            <w:r>
              <w:rPr>
                <w:rFonts w:ascii="Calibri" w:cs="Calibri" w:eastAsia="Calibri" w:hAnsi="Calibri"/>
                <w:i/>
                <w:iCs/>
                <w:color w:val="0E7490"/>
                <w:sz w:val="14"/>
                <w:szCs w:val="14"/>
              </w:rPr>
              <w:t xml:space="preserve">   Jenkins · GitHub · Maven · SonarQube · Nexus · Tomcat · EC2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before="22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Built end-to-end automated pipeline: commit → SonarQube code quality gate → Nexus artifact store → Tomcat deploy on AWS EC2; enforced quality gates that block low-coverage builds from reaching production.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before="22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Impact: ~70% reduction in manual release steps; consistent, versioned artifact delivery on every merge.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5208"/>
            <w:tcBorders>
              <w:top w:val="single" w:color="B8D0F0" w:sz="6"/>
              <w:left w:val="single" w:color="1A5FA8" w:sz="16"/>
              <w:bottom w:val="single" w:color="B8D0F0" w:sz="6"/>
              <w:right w:val="single" w:color="B8D0F0" w:sz="6"/>
            </w:tcBorders>
            <w:shd w:fill="F0F6FF" w:val="clear"/>
            <w:tcMar>
              <w:top w:type="dxa" w:w="100"/>
              <w:left w:type="dxa" w:w="130"/>
              <w:bottom w:type="dxa" w:w="100"/>
              <w:right w:type="dxa" w:w="130"/>
            </w:tcMar>
            <w:vAlign w:val="top"/>
          </w:tcPr>
          <w:p>
            <w:pPr>
              <w:tabs>
                <w:tab w:val="right" w:pos="5008"/>
              </w:tabs>
              <w:spacing w:after="20" w:before="0"/>
            </w:pPr>
            <w:r>
              <w:rPr>
                <w:rFonts w:ascii="Calibri" w:cs="Calibri" w:eastAsia="Calibri" w:hAnsi="Calibri"/>
                <w:b/>
                <w:bCs/>
                <w:color w:val="0D2B4E"/>
                <w:sz w:val="18"/>
                <w:szCs w:val="18"/>
              </w:rPr>
              <w:t xml:space="preserve">Docker 3-Tier Applications</w:t>
            </w:r>
            <w:r>
              <w:rPr>
                <w:rFonts w:ascii="Calibri" w:cs="Calibri" w:eastAsia="Calibri" w:hAnsi="Calibri"/>
                <w:i/>
                <w:iCs/>
                <w:color w:val="717171"/>
                <w:sz w:val="14"/>
                <w:szCs w:val="14"/>
              </w:rPr>
              <w:t xml:space="preserve">	Sep 2025</w:t>
            </w:r>
          </w:p>
          <w:p>
            <w:pPr>
              <w:spacing w:after="30" w:before="0"/>
            </w:pPr>
            <w:r>
              <w:rPr>
                <w:rFonts w:ascii="Calibri" w:cs="Calibri" w:eastAsia="Calibri" w:hAnsi="Calibri"/>
                <w:b/>
                <w:bCs/>
                <w:color w:val="1A5FA8"/>
                <w:sz w:val="13"/>
                <w:szCs w:val="13"/>
              </w:rPr>
              <w:t xml:space="preserve">  PERSONAL — CONTAINERS  </w:t>
            </w:r>
            <w:r>
              <w:rPr>
                <w:rFonts w:ascii="Calibri" w:cs="Calibri" w:eastAsia="Calibri" w:hAnsi="Calibri"/>
                <w:i/>
                <w:iCs/>
                <w:color w:val="0E7490"/>
                <w:sz w:val="14"/>
                <w:szCs w:val="14"/>
              </w:rPr>
              <w:t xml:space="preserve">   Docker · Docker Compose · React · Node.js · PostgreSQL · MySQL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before="22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Deployed 2 containerized apps: (1) full-stack Note-Taking App (React + Node.js + PostgreSQL) and (2) Java 2-tier app (Tomcat + MySQL) using custom Docker networks, multi-stage Dockerfiles &amp; .env credential security.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before="22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Impact: Fully portable, reproducible environments — 0 manual dependency installation on any fresh machine.</w:t>
            </w:r>
          </w:p>
        </w:tc>
      </w:tr>
      <w:tr>
        <w:tc>
          <w:tcPr>
            <w:tcW w:type="dxa" w:w="106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0" w:before="0"/>
            </w:pPr>
          </w:p>
        </w:tc>
      </w:tr>
      <w:tr>
        <w:tc>
          <w:tcPr>
            <w:tcW w:type="dxa" w:w="5208"/>
            <w:tcBorders>
              <w:top w:val="single" w:color="B8D0F0" w:sz="6"/>
              <w:left w:val="single" w:color="1A5FA8" w:sz="16"/>
              <w:bottom w:val="single" w:color="B8D0F0" w:sz="6"/>
              <w:right w:val="single" w:color="B8D0F0" w:sz="6"/>
            </w:tcBorders>
            <w:shd w:fill="F0F6FF" w:val="clear"/>
            <w:tcMar>
              <w:top w:type="dxa" w:w="100"/>
              <w:left w:type="dxa" w:w="130"/>
              <w:bottom w:type="dxa" w:w="100"/>
              <w:right w:type="dxa" w:w="130"/>
            </w:tcMar>
            <w:vAlign w:val="top"/>
          </w:tcPr>
          <w:p>
            <w:pPr>
              <w:tabs>
                <w:tab w:val="right" w:pos="5008"/>
              </w:tabs>
              <w:spacing w:after="20" w:before="0"/>
            </w:pPr>
            <w:r>
              <w:rPr>
                <w:rFonts w:ascii="Calibri" w:cs="Calibri" w:eastAsia="Calibri" w:hAnsi="Calibri"/>
                <w:b/>
                <w:bCs/>
                <w:color w:val="0D2B4E"/>
                <w:sz w:val="18"/>
                <w:szCs w:val="18"/>
              </w:rPr>
              <w:t xml:space="preserve">Azure DevOps Process Transformation</w:t>
            </w:r>
            <w:r>
              <w:rPr>
                <w:rFonts w:ascii="Calibri" w:cs="Calibri" w:eastAsia="Calibri" w:hAnsi="Calibri"/>
                <w:i/>
                <w:iCs/>
                <w:color w:val="717171"/>
                <w:sz w:val="14"/>
                <w:szCs w:val="14"/>
              </w:rPr>
              <w:t xml:space="preserve">	Nov – Dec 2025</w:t>
            </w:r>
          </w:p>
          <w:p>
            <w:pPr>
              <w:spacing w:after="30" w:before="0"/>
            </w:pPr>
            <w:r>
              <w:rPr>
                <w:rFonts w:ascii="Calibri" w:cs="Calibri" w:eastAsia="Calibri" w:hAnsi="Calibri"/>
                <w:b/>
                <w:bCs/>
                <w:color w:val="1A5FA8"/>
                <w:sz w:val="13"/>
                <w:szCs w:val="13"/>
              </w:rPr>
              <w:t xml:space="preserve">  COMPANY — PROCESS  </w:t>
            </w:r>
            <w:r>
              <w:rPr>
                <w:rFonts w:ascii="Calibri" w:cs="Calibri" w:eastAsia="Calibri" w:hAnsi="Calibri"/>
                <w:i/>
                <w:iCs/>
                <w:color w:val="0E7490"/>
                <w:sz w:val="14"/>
                <w:szCs w:val="14"/>
              </w:rPr>
              <w:t xml:space="preserve">   Azure DevOps · Boards · Sprints · YAML · Webhooks · Teams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before="22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Identified a company-wide gap in Agile tracking; designed and presented an Azure DevOps adoption strategy (Boards, Sprints, Backlog, PR policies, webhooks) that was accepted and rolled out across the organization.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before="22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Impact: 3+ teams moved from ad-hoc to structured sprint delivery; deployment visibility improved with real-time Teams alerts.</w:t>
            </w:r>
          </w:p>
        </w:tc>
        <w:tc>
          <w:tcPr>
            <w:tcW w:type="dxa" w:w="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5208"/>
            <w:tcBorders>
              <w:top w:val="single" w:color="B8D0F0" w:sz="6"/>
              <w:left w:val="single" w:color="1A5FA8" w:sz="16"/>
              <w:bottom w:val="single" w:color="B8D0F0" w:sz="6"/>
              <w:right w:val="single" w:color="B8D0F0" w:sz="6"/>
            </w:tcBorders>
            <w:shd w:fill="F0F6FF" w:val="clear"/>
            <w:tcMar>
              <w:top w:type="dxa" w:w="100"/>
              <w:left w:type="dxa" w:w="130"/>
              <w:bottom w:type="dxa" w:w="100"/>
              <w:right w:type="dxa" w:w="130"/>
            </w:tcMar>
            <w:vAlign w:val="top"/>
          </w:tcPr>
          <w:p>
            <w:pPr>
              <w:tabs>
                <w:tab w:val="right" w:pos="5008"/>
              </w:tabs>
              <w:spacing w:after="20" w:before="0"/>
            </w:pPr>
            <w:r>
              <w:rPr>
                <w:rFonts w:ascii="Calibri" w:cs="Calibri" w:eastAsia="Calibri" w:hAnsi="Calibri"/>
                <w:b/>
                <w:bCs/>
                <w:color w:val="0D2B4E"/>
                <w:sz w:val="18"/>
                <w:szCs w:val="18"/>
              </w:rPr>
              <w:t xml:space="preserve">AWS Cloud Infrastructure</w:t>
            </w:r>
            <w:r>
              <w:rPr>
                <w:rFonts w:ascii="Calibri" w:cs="Calibri" w:eastAsia="Calibri" w:hAnsi="Calibri"/>
                <w:i/>
                <w:iCs/>
                <w:color w:val="717171"/>
                <w:sz w:val="14"/>
                <w:szCs w:val="14"/>
              </w:rPr>
              <w:t xml:space="preserve">	Jan 2025</w:t>
            </w:r>
          </w:p>
          <w:p>
            <w:pPr>
              <w:spacing w:after="30" w:before="0"/>
            </w:pPr>
            <w:r>
              <w:rPr>
                <w:rFonts w:ascii="Calibri" w:cs="Calibri" w:eastAsia="Calibri" w:hAnsi="Calibri"/>
                <w:b/>
                <w:bCs/>
                <w:color w:val="1A5FA8"/>
                <w:sz w:val="13"/>
                <w:szCs w:val="13"/>
              </w:rPr>
              <w:t xml:space="preserve">  PERSONAL — CLOUD  </w:t>
            </w:r>
            <w:r>
              <w:rPr>
                <w:rFonts w:ascii="Calibri" w:cs="Calibri" w:eastAsia="Calibri" w:hAnsi="Calibri"/>
                <w:i/>
                <w:iCs/>
                <w:color w:val="0E7490"/>
                <w:sz w:val="14"/>
                <w:szCs w:val="14"/>
              </w:rPr>
              <w:t xml:space="preserve">   EC2 · VPC · S3 · EBS · IAM · Elastic IP · CloudWatch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before="22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Architected a production-grade AWS environment: deployed static web infra inside a custom VPC with Elastic IP, S3 file storage, EBS persistent volumes &amp; IAM role-based access control for all resources.</w:t>
            </w:r>
          </w:p>
          <w:p>
            <w:pPr>
              <w:pStyle w:val="ListParagraph"/>
              <w:numPr>
                <w:ilvl w:val="0"/>
                <w:numId w:val="3"/>
              </w:numPr>
              <w:spacing w:after="22" w:before="22"/>
            </w:pPr>
            <w:r>
              <w:rPr>
                <w:rFonts w:ascii="Calibri" w:cs="Calibri" w:eastAsia="Calibri" w:hAnsi="Calibri"/>
                <w:color w:val="3D3D3D"/>
                <w:sz w:val="16"/>
                <w:szCs w:val="16"/>
              </w:rPr>
              <w:t xml:space="preserve">Impact: Demonstrated end-to-end AWS resource lifecycle management — security-first design with least-privilege IAM policies.</w:t>
            </w:r>
          </w:p>
        </w:tc>
      </w:tr>
    </w:tbl>
    <w:p>
      <w:pPr>
        <w:pBdr>
          <w:bottom w:val="single" w:color="1A5FA8" w:sz="8" w:space="3"/>
        </w:pBdr>
        <w:spacing w:after="40" w:before="130"/>
      </w:pPr>
      <w:r>
        <w:rPr>
          <w:rFonts w:ascii="Calibri" w:cs="Calibri" w:eastAsia="Calibri" w:hAnsi="Calibri"/>
          <w:b/>
          <w:bCs/>
          <w:color w:val="0D2B4E"/>
          <w:sz w:val="20"/>
          <w:szCs w:val="20"/>
        </w:rPr>
        <w:t xml:space="preserve">EDUCATION</w:t>
      </w:r>
    </w:p>
    <w:p>
      <w:pPr>
        <w:tabs>
          <w:tab w:val="right" w:pos="10656"/>
        </w:tabs>
        <w:spacing w:after="18" w:before="50"/>
      </w:pPr>
      <w:r>
        <w:rPr>
          <w:rFonts w:ascii="Calibri" w:cs="Calibri" w:eastAsia="Calibri" w:hAnsi="Calibri"/>
          <w:b/>
          <w:bCs/>
          <w:color w:val="111111"/>
          <w:sz w:val="17"/>
          <w:szCs w:val="17"/>
        </w:rPr>
        <w:t xml:space="preserve">MCA — Silicon University, Bhubaneswar  |  7.75 CGPA</w:t>
      </w:r>
      <w:r>
        <w:rPr>
          <w:rFonts w:ascii="Calibri" w:cs="Calibri" w:eastAsia="Calibri" w:hAnsi="Calibri"/>
          <w:i/>
          <w:iCs/>
          <w:color w:val="717171"/>
          <w:sz w:val="15"/>
          <w:szCs w:val="15"/>
        </w:rPr>
        <w:t xml:space="preserve">	Sept 2023 – June 2025</w:t>
      </w:r>
    </w:p>
    <w:p>
      <w:pPr>
        <w:tabs>
          <w:tab w:val="right" w:pos="10656"/>
        </w:tabs>
        <w:spacing w:after="18" w:before="10"/>
      </w:pPr>
      <w:r>
        <w:rPr>
          <w:rFonts w:ascii="Calibri" w:cs="Calibri" w:eastAsia="Calibri" w:hAnsi="Calibri"/>
          <w:b/>
          <w:bCs/>
          <w:color w:val="111111"/>
          <w:sz w:val="17"/>
          <w:szCs w:val="17"/>
        </w:rPr>
        <w:t xml:space="preserve">BCA — Niis Institute, Bhubaneswar  |  8.07 CGPA</w:t>
      </w:r>
      <w:r>
        <w:rPr>
          <w:rFonts w:ascii="Calibri" w:cs="Calibri" w:eastAsia="Calibri" w:hAnsi="Calibri"/>
          <w:i/>
          <w:iCs/>
          <w:color w:val="717171"/>
          <w:sz w:val="15"/>
          <w:szCs w:val="15"/>
        </w:rPr>
        <w:t xml:space="preserve">	Oct 2020 – June 2023</w:t>
      </w:r>
    </w:p>
    <w:p>
      <w:pPr>
        <w:pBdr>
          <w:bottom w:val="single" w:color="1A5FA8" w:sz="8" w:space="3"/>
        </w:pBdr>
        <w:spacing w:after="40" w:before="130"/>
      </w:pPr>
      <w:r>
        <w:rPr>
          <w:rFonts w:ascii="Calibri" w:cs="Calibri" w:eastAsia="Calibri" w:hAnsi="Calibri"/>
          <w:b/>
          <w:bCs/>
          <w:color w:val="0D2B4E"/>
          <w:sz w:val="20"/>
          <w:szCs w:val="20"/>
        </w:rPr>
        <w:t xml:space="preserve">CERTIFICATIONS &amp; RECOGNITION</w:t>
      </w:r>
    </w:p>
    <w:p>
      <w:pPr>
        <w:spacing w:after="20" w:before="50"/>
      </w:pPr>
      <w:r>
        <w:rPr>
          <w:rFonts w:ascii="Calibri" w:cs="Calibri" w:eastAsia="Calibri" w:hAnsi="Calibri"/>
          <w:color w:val="3D3D3D"/>
          <w:sz w:val="15"/>
          <w:szCs w:val="15"/>
        </w:rPr>
        <w:t xml:space="preserve">DevOps Master – JSpiders (Ongoing)  ·  AWS Master (Jul 2024)  ·  IoT – NPTEL (May 2024)  ·  Google Cloud Facilitator (Jul 2022)  ·  NSDC (Oct 2018)</w:t>
      </w:r>
    </w:p>
    <w:p>
      <w:pPr>
        <w:spacing w:after="0" w:before="10"/>
      </w:pPr>
      <w:r>
        <w:rPr>
          <w:rFonts w:ascii="Calibri" w:cs="Calibri" w:eastAsia="Calibri" w:hAnsi="Calibri"/>
          <w:b/>
          <w:bCs/>
          <w:color w:val="111111"/>
          <w:sz w:val="15"/>
          <w:szCs w:val="15"/>
        </w:rPr>
        <w:t xml:space="preserve">Organized &amp; mentored Tech Fest (2021)</w:t>
      </w:r>
      <w:r>
        <w:rPr>
          <w:rFonts w:ascii="Calibri" w:cs="Calibri" w:eastAsia="Calibri" w:hAnsi="Calibri"/>
          <w:color w:val="3D3D3D"/>
          <w:sz w:val="15"/>
          <w:szCs w:val="15"/>
        </w:rPr>
        <w:t xml:space="preserve"> — delivered DevOps &amp; Cloud sessions to 150+ students at Niis Institute; also guided financial literacy workshops.</w:t>
      </w:r>
    </w:p>
    <w:sectPr>
      <w:pgSz w:w="12240" w:h="15840" w:orient="portrait"/>
      <w:pgMar w:top="650" w:right="792" w:bottom="560" w:left="79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‣"/>
      <w:lvlJc w:val="left"/>
      <w:pPr>
        <w:ind w:left="3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2026-05-09T07:05:29.550Z</dcterms:created>
  <dcterms:modified xsi:type="dcterms:W3CDTF">2026-05-09T07:05:29.569Z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